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EB52604" w:rsidR="007B024B" w:rsidRPr="006E62FC"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Produits &amp; services</w:t>
                      </w:r>
                    </w:p>
                  </w:txbxContent>
                </v:textbox>
              </v:shape>
            </w:pict>
          </mc:Fallback>
        </mc:AlternateContent>
      </w:r>
      <w:r>
        <w:rPr>
          <w:rStyle w:val="Formatvorlage14"/>
          <w:sz w:val="20"/>
        </w:rPr>
        <w:t xml:space="preserve">Mars 2024</w:t>
      </w:r>
    </w:p>
    <w:p w14:paraId="3DA34F58" w14:textId="4C7E6F8B" w:rsidR="00844322" w:rsidRDefault="00525A2A"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Nouveaux concepts d'emballage pour les produits VITA CFAO et DISC</w:t>
      </w:r>
    </w:p>
    <w:p w14:paraId="60790DA9" w14:textId="77777777" w:rsidR="00EB41C2" w:rsidRDefault="00EB41C2" w:rsidP="00844322">
      <w:pPr>
        <w:spacing w:line="240" w:lineRule="auto"/>
        <w:rPr>
          <w:rStyle w:val="Formatvorlage14"/>
          <w:b/>
          <w:bCs/>
          <w:color w:val="4D4D4D" w:themeColor="accent3"/>
          <w:sz w:val="48"/>
          <w:szCs w:val="48"/>
        </w:rPr>
      </w:pPr>
    </w:p>
    <w:p w14:paraId="1C270FE2" w14:textId="3C5AE976" w:rsidR="00B7336C" w:rsidRDefault="00525A2A" w:rsidP="00E31B64">
      <w:pPr>
        <w:spacing w:after="480"/>
        <w:rPr>
          <w:rFonts w:cs="Arial"/>
          <w:sz w:val="24"/>
          <w:szCs w:val="24"/>
        </w:rPr>
      </w:pPr>
      <w:r>
        <w:rPr>
          <w:rFonts w:ascii="Arial" w:hAnsi="Arial" w:cs="Arial"/>
          <w:sz w:val="24"/>
          <w:szCs w:val="24"/>
        </w:rPr>
        <w:t xml:space="preserve">Dans le but de protéger encore mieux les produits VITA et d'utiliser des matériaux d'emballage durables, les emballages des blocs CFAO VITA ainsi que des produits DISC ont été optimisés.</w:t>
      </w:r>
    </w:p>
    <w:p w14:paraId="5615E7F4" w14:textId="77777777" w:rsidR="00525A2A" w:rsidRPr="00525A2A" w:rsidRDefault="00525A2A" w:rsidP="00525A2A">
      <w:pPr>
        <w:spacing w:after="120" w:line="360" w:lineRule="auto"/>
        <w:rPr>
          <w:rFonts w:cs="Arial"/>
        </w:rPr>
      </w:pPr>
      <w:r>
        <w:rPr>
          <w:rFonts w:ascii="Arial" w:hAnsi="Arial" w:cs="Arial"/>
          <w:b/>
          <w:bCs/>
          <w:color w:val="DC0064" w:themeColor="accent1"/>
        </w:rPr>
        <w:t xml:space="preserve">Emballages CFAO</w:t>
        <w:br/>
      </w:r>
      <w:r>
        <w:rPr>
          <w:rFonts w:ascii="Arial" w:hAnsi="Arial" w:cs="Arial"/>
        </w:rPr>
        <w:t xml:space="preserve">À partir de 2024, les blocs CFAO VITA seront successivement livrés dans des boîtes pliantes standardisées.</w:t>
      </w:r>
      <w:r>
        <w:rPr>
          <w:rFonts w:ascii="Arial" w:hAnsi="Arial" w:cs="Arial"/>
        </w:rPr>
        <w:t xml:space="preserve"> </w:t>
      </w:r>
      <w:r>
        <w:rPr>
          <w:rFonts w:ascii="Arial" w:hAnsi="Arial" w:cs="Arial"/>
        </w:rPr>
        <w:t xml:space="preserve">Grâce à l'optimisation, le nombre de variantes d'emballage passe de 12 à 6. La distinction entre les produits se fait désormais par un étiquetage clair.</w:t>
      </w:r>
      <w:r>
        <w:rPr>
          <w:rFonts w:ascii="Arial" w:hAnsi="Arial" w:cs="Arial"/>
        </w:rPr>
        <w:t xml:space="preserve"> </w:t>
      </w:r>
      <w:r>
        <w:rPr>
          <w:rFonts w:ascii="Arial" w:hAnsi="Arial" w:cs="Arial"/>
        </w:rPr>
        <w:t xml:space="preserve">Les produits VITA YZ de plus de 55 mm et VITA CAD-Waxx ainsi que VITA CAD-Temp de plus de 65 mm de hauteur font exception et continueront à être disponibles dans des emballages spéciaux.</w:t>
      </w:r>
      <w:r>
        <w:rPr>
          <w:rFonts w:ascii="Arial" w:hAnsi="Arial" w:cs="Arial"/>
        </w:rPr>
        <w:t xml:space="preserve"> </w:t>
      </w:r>
    </w:p>
    <w:p w14:paraId="4F81DB32" w14:textId="77777777" w:rsidR="00525A2A" w:rsidRDefault="00525A2A" w:rsidP="00525A2A">
      <w:pPr>
        <w:spacing w:after="120" w:line="360" w:lineRule="auto"/>
        <w:rPr>
          <w:rFonts w:cs="Arial"/>
        </w:rPr>
      </w:pPr>
      <w:r>
        <w:rPr>
          <w:rFonts w:ascii="Arial" w:hAnsi="Arial" w:cs="Arial"/>
        </w:rPr>
        <w:t xml:space="preserve">Les nouveaux emballages de blocs renoncent aux inserts en mousse et misent à la place sur un espace creux en carton qui offre une protection optimale aux produits.</w:t>
      </w:r>
      <w:r>
        <w:rPr>
          <w:rFonts w:ascii="Arial" w:hAnsi="Arial" w:cs="Arial"/>
        </w:rPr>
        <w:t xml:space="preserve"> </w:t>
      </w:r>
      <w:r>
        <w:rPr>
          <w:rFonts w:ascii="Arial" w:hAnsi="Arial" w:cs="Arial"/>
        </w:rPr>
        <w:t xml:space="preserve">Les modes d'emploi sont accessibles numériquement via des codes QR sur les emballages, ce qui réduit la consommation de papier.</w:t>
      </w:r>
    </w:p>
    <w:p w14:paraId="4D376129" w14:textId="77777777" w:rsidR="00525A2A" w:rsidRDefault="00525A2A" w:rsidP="003A2805">
      <w:pPr>
        <w:spacing w:after="120" w:line="360" w:lineRule="auto"/>
        <w:rPr>
          <w:rFonts w:cs="Arial"/>
          <w:b/>
          <w:bCs/>
          <w:color w:val="DC0064" w:themeColor="accent1"/>
        </w:rPr>
      </w:pPr>
    </w:p>
    <w:p w14:paraId="6AA8C35F" w14:textId="675BF0F2" w:rsidR="00525A2A" w:rsidRDefault="00525A2A" w:rsidP="003A2805">
      <w:pPr>
        <w:spacing w:after="120" w:line="360" w:lineRule="auto"/>
        <w:rPr>
          <w:rFonts w:cs="Arial"/>
          <w:b/>
          <w:bCs/>
          <w:color w:val="DC0064" w:themeColor="accent1"/>
        </w:rPr>
      </w:pPr>
      <w:r>
        <w:rPr>
          <w:rFonts w:ascii="Arial" w:hAnsi="Arial" w:cs="Arial"/>
          <w:b/>
          <w:bCs/>
          <w:color w:val="DC0064" w:themeColor="accent1"/>
        </w:rPr>
        <w:t xml:space="preserve">Emballages DISC</w:t>
      </w:r>
    </w:p>
    <w:p w14:paraId="6E6217D7" w14:textId="77777777" w:rsidR="00525A2A" w:rsidRPr="00525A2A" w:rsidRDefault="00525A2A" w:rsidP="00525A2A">
      <w:pPr>
        <w:spacing w:after="120" w:line="360" w:lineRule="auto"/>
        <w:rPr>
          <w:rFonts w:cs="Arial"/>
        </w:rPr>
      </w:pPr>
      <w:r>
        <w:rPr>
          <w:rFonts w:ascii="Arial" w:hAnsi="Arial" w:cs="Arial"/>
        </w:rPr>
        <w:t xml:space="preserve">Des améliorations significatives ont également été apportées aux emballages DISC.</w:t>
      </w:r>
      <w:r>
        <w:rPr>
          <w:rFonts w:ascii="Arial" w:hAnsi="Arial" w:cs="Arial"/>
        </w:rPr>
        <w:t xml:space="preserve"> </w:t>
      </w:r>
      <w:r>
        <w:rPr>
          <w:rFonts w:ascii="Arial" w:hAnsi="Arial" w:cs="Arial"/>
        </w:rPr>
        <w:t xml:space="preserve">Les films plastiques et les inserts en mousse ont été remplacés par des cartons et des demi-coques en cellulose respectueux de l'environnement, ce qui a permis de réduire considérablement le volume des déchets.</w:t>
      </w:r>
      <w:r>
        <w:rPr>
          <w:rFonts w:ascii="Arial" w:hAnsi="Arial" w:cs="Arial"/>
        </w:rPr>
        <w:t xml:space="preserve"> </w:t>
      </w:r>
      <w:r>
        <w:rPr>
          <w:rFonts w:ascii="Arial" w:hAnsi="Arial" w:cs="Arial"/>
        </w:rPr>
        <w:t xml:space="preserve">De plus, les codes QR sur l'emballage extérieur favorisent la mise à disposition numérique des modes d'emploi, ce qui réduit encore la consommation de papier.</w:t>
      </w:r>
    </w:p>
    <w:p w14:paraId="1ADAFB99" w14:textId="77777777" w:rsidR="00525A2A" w:rsidRDefault="00525A2A" w:rsidP="00525A2A">
      <w:pPr>
        <w:spacing w:after="120" w:line="360" w:lineRule="auto"/>
        <w:rPr>
          <w:rFonts w:cs="Arial"/>
        </w:rPr>
      </w:pPr>
      <w:r>
        <w:rPr>
          <w:rFonts w:ascii="Arial" w:hAnsi="Arial" w:cs="Arial"/>
        </w:rPr>
        <w:t xml:space="preserve">La conception des nouveaux étuis, qui sont désormais des boîtes fermées avec un fond automatique, a également été revue et adaptée à la conception des emballages de blocs.</w:t>
      </w:r>
      <w:r>
        <w:rPr>
          <w:rFonts w:ascii="Arial" w:hAnsi="Arial" w:cs="Arial"/>
        </w:rPr>
        <w:t xml:space="preserve"> </w:t>
      </w:r>
      <w:r>
        <w:rPr>
          <w:rFonts w:ascii="Arial" w:hAnsi="Arial" w:cs="Arial"/>
        </w:rPr>
        <w:t xml:space="preserve">La différenciation des produits se fait ici aussi par l'étiquette, ce qui minimise les frais d'emballage.</w:t>
      </w:r>
    </w:p>
    <w:p w14:paraId="6F6E0D2B" w14:textId="77777777" w:rsidR="00525A2A" w:rsidRDefault="00525A2A" w:rsidP="00525A2A">
      <w:pPr>
        <w:spacing w:after="120" w:line="360" w:lineRule="auto"/>
      </w:pPr>
    </w:p>
    <w:p w14:paraId="4001688C" w14:textId="369D9D36" w:rsidR="00C82603" w:rsidRPr="00C239F2" w:rsidRDefault="00C82603" w:rsidP="00C82603">
      <w:pPr>
        <w:spacing w:line="360" w:lineRule="auto"/>
        <w:rPr>
          <w:rFonts w:cs="Arial"/>
          <w:b/>
          <w:bCs/>
          <w:color w:val="DC0064" w:themeColor="accent1"/>
        </w:rPr>
      </w:pPr>
      <w:r>
        <w:rPr>
          <w:rFonts w:ascii="Arial" w:hAnsi="Arial" w:cs="Arial"/>
          <w:b/>
          <w:bCs/>
          <w:color w:val="DC0064" w:themeColor="accent1"/>
        </w:rPr>
        <w:t xml:space="preserve">Informations complémentaires</w:t>
      </w:r>
    </w:p>
    <w:p w14:paraId="1998B0E5" w14:textId="6B075BC4" w:rsidR="00525A2A" w:rsidRDefault="00525A2A" w:rsidP="00525A2A">
      <w:pPr>
        <w:spacing w:after="120" w:line="360" w:lineRule="auto"/>
      </w:pPr>
      <w:r>
        <w:t xml:space="preserve">Disponibilité : à partir du 01/04/2024, introduction successive des nouveaux emballages.</w:t>
      </w:r>
    </w:p>
    <w:p w14:paraId="49424392" w14:textId="14585BFA" w:rsidR="003A2805" w:rsidRPr="0069569F" w:rsidRDefault="00525A2A" w:rsidP="00525A2A">
      <w:pPr>
        <w:spacing w:after="120" w:line="360" w:lineRule="auto"/>
        <w:rPr>
          <w:rFonts w:cs="Arial"/>
        </w:rPr>
      </w:pPr>
      <w:r>
        <w:t xml:space="preserve">À noter : pendant la phase de transition, il peut y avoir des livraisons mixtes.</w:t>
        <w:br/>
      </w:r>
    </w:p>
    <w:p w14:paraId="7A2A3978" w14:textId="77777777" w:rsidR="00C82603" w:rsidRDefault="00C82603"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4D1FBA3" wp14:editId="403A5669">
            <wp:extent cx="4756150" cy="2819170"/>
            <wp:effectExtent l="0" t="0" r="6350" b="635"/>
            <wp:docPr id="1387371038" name="Grafik 1" descr="Ein Bild, das Text, Marke, Logo,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371038" name="Grafik 1" descr="Ein Bild, das Text, Marke, Logo, Grafikdesign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0964" cy="2822023"/>
                    </a:xfrm>
                    <a:prstGeom prst="rect">
                      <a:avLst/>
                    </a:prstGeom>
                    <a:noFill/>
                    <a:ln>
                      <a:noFill/>
                    </a:ln>
                  </pic:spPr>
                </pic:pic>
              </a:graphicData>
            </a:graphic>
          </wp:inline>
        </w:drawing>
      </w:r>
    </w:p>
    <w:p w14:paraId="0B02B7A2" w14:textId="0ED1C613" w:rsidR="003A2805" w:rsidRPr="00990E7D" w:rsidRDefault="003A2805" w:rsidP="003A2805">
      <w:pPr>
        <w:pStyle w:val="Preline"/>
        <w:spacing w:after="0" w:line="240" w:lineRule="auto"/>
        <w:rPr>
          <w:rStyle w:val="Formatvorlage14"/>
          <w:rFonts w:cs="Arial"/>
          <w:b w:val="0"/>
          <w:bCs w:val="0"/>
          <w:color w:val="4D4D4D" w:themeColor="accent3"/>
          <w:sz w:val="18"/>
          <w:szCs w:val="18"/>
        </w:rPr>
      </w:pPr>
      <w:r>
        <w:rPr>
          <w:rFonts w:ascii="Arial" w:hAnsi="Arial" w:cs="Arial"/>
          <w:rStyle w:val="Formatvorlage14"/>
          <w:b w:val="0"/>
          <w:bCs w:val="0"/>
          <w:color w:val="4D4D4D" w:themeColor="accent3"/>
          <w:sz w:val="18"/>
          <w:szCs w:val="18"/>
        </w:rPr>
        <w:t xml:space="preserve">Ill. 1 : les emballages des blocs  CFAO VITA ainsi que des produits DISC ont été optimisés</w:t>
      </w:r>
    </w:p>
    <w:p w14:paraId="15A2213C" w14:textId="77777777" w:rsidR="001D64C2" w:rsidRPr="001D64C2" w:rsidRDefault="001D64C2" w:rsidP="001D64C2">
      <w:pPr>
        <w:spacing w:after="480" w:line="360" w:lineRule="auto"/>
        <w:rPr>
          <w:rFonts w:cs="Arial"/>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125 pays dans leur travail quotidien.</w:t>
                            </w:r>
                            <w:r>
                              <w:rPr>
                                <w:rFonts w:ascii="Arial" w:hAnsi="Arial" w:cs="Arial"/>
                                <w:color w:val="3A3938"/>
                                <w:spacing w:val="-2"/>
                                <w:sz w:val="16"/>
                                <w:szCs w:val="16"/>
                              </w:rPr>
                              <w:t xml:space="preserve">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 « PERFECT MATCH » (correspondance parfaite) est expérimenté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ZahnfabrikH. Rauter GmbH &amp; Co. KG</w:t>
                      </w:r>
                    </w:p>
                    <w:p w14:paraId="3C562144" w14:textId="5728CAEB"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w:t>
                      </w:r>
                      <w:r>
                        <w:rPr>
                          <w:rFonts w:ascii="Arial" w:hAnsi="Arial" w:cs="Arial"/>
                          <w:color w:val="3A3938"/>
                          <w:spacing w:val="-2"/>
                          <w:sz w:val="16"/>
                          <w:szCs w:val="16"/>
                        </w:rPr>
                        <w:t xml:space="preserve"> </w:t>
                      </w:r>
                      <w:r>
                        <w:rPr>
                          <w:rFonts w:ascii="Arial" w:hAnsi="Arial" w:cs="Arial"/>
                          <w:color w:val="3A3938"/>
                          <w:spacing w:val="-2"/>
                          <w:sz w:val="16"/>
                          <w:szCs w:val="16"/>
                        </w:rPr>
                        <w:t xml:space="preserve">Depuis 100 ans, VITA développe, fabrique et commercialise des produits et des solutions de restauration innovants et de qualité pour la technique et l'odontologie.</w:t>
                      </w:r>
                      <w:r>
                        <w:rPr>
                          <w:rFonts w:ascii="Arial" w:hAnsi="Arial" w:cs="Arial"/>
                          <w:color w:val="3A3938"/>
                          <w:spacing w:val="-2"/>
                          <w:sz w:val="16"/>
                          <w:szCs w:val="16"/>
                        </w:rPr>
                        <w:t xml:space="preserve"> </w:t>
                      </w:r>
                      <w:r>
                        <w:rPr>
                          <w:rFonts w:ascii="Arial" w:hAnsi="Arial" w:cs="Arial"/>
                          <w:color w:val="3A3938"/>
                          <w:spacing w:val="-2"/>
                          <w:sz w:val="16"/>
                          <w:szCs w:val="16"/>
                        </w:rPr>
                        <w:t xml:space="preserve">Plus de 600 employés dans le monde entier travaillent pour la société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médecine dentaire.</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Dans le développement de solutions systèmes innovantes pour la reproduction fonctionnelle et esthétique de la substance dentaire, l'accent est aussi mis sur les besoins des utilisateurs.</w:t>
                      </w:r>
                      <w:r>
                        <w:rPr>
                          <w:rFonts w:ascii="Arial" w:hAnsi="Arial" w:cs="Arial"/>
                          <w:color w:val="3A3938"/>
                          <w:spacing w:val="-2"/>
                          <w:sz w:val="16"/>
                          <w:szCs w:val="16"/>
                        </w:rPr>
                        <w:t xml:space="preserve"> </w:t>
                      </w:r>
                      <w:r>
                        <w:rPr>
                          <w:rFonts w:ascii="Arial" w:hAnsi="Arial" w:cs="Arial"/>
                          <w:color w:val="3A3938"/>
                          <w:spacing w:val="-2"/>
                          <w:sz w:val="16"/>
                          <w:szCs w:val="16"/>
                        </w:rPr>
                        <w:t xml:space="preserve">Par ses compétences scientifiques et grâce à des programmes de formation continue ciblés, VITA aide et conseille les experts dentaires de plus de 125 pays dans leur travail quotidien.</w:t>
                      </w:r>
                      <w:r>
                        <w:rPr>
                          <w:rFonts w:ascii="Arial" w:hAnsi="Arial" w:cs="Arial"/>
                          <w:color w:val="3A3938"/>
                          <w:spacing w:val="-2"/>
                          <w:sz w:val="16"/>
                          <w:szCs w:val="16"/>
                        </w:rPr>
                        <w:t xml:space="preserve"> </w:t>
                      </w:r>
                    </w:p>
                    <w:p w14:paraId="73410DEF" w14:textId="766158C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Ce « PERFECT MATCH » (correspondance parfaite) est expérimenté au laboratoire et au cabinet, de la détermination précise des couleurs de dents à la restauration finale</w:t>
                      </w:r>
                      <w:r>
                        <w:rPr>
                          <w:rFonts w:ascii="Arial" w:hAnsi="Arial" w:cs="Arial"/>
                          <w:color w:val="3A3938"/>
                          <w:spacing w:val="-2"/>
                        </w:rPr>
                        <w:t xml:space="preserve"> </w:t>
                      </w:r>
                      <w:r>
                        <w:rPr>
                          <w:rFonts w:ascii="Arial" w:hAnsi="Arial" w:cs="Arial"/>
                          <w:color w:val="3A3938"/>
                          <w:spacing w:val="-2"/>
                          <w:sz w:val="16"/>
                          <w:szCs w:val="16"/>
                        </w:rPr>
                        <w:t xml:space="preserve">et au collage.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poursuit son chemin de manière systématique en développant des solutions toujours meilleures pour une prothèse parfaite, grâce à une force d'innovation continue et une exigence de qualité élevée.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contribue ainsi à la qualité de vie des personnes concernées.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sectPr w:rsidR="00602BBF" w:rsidRPr="00990E7D" w:rsidSect="00AB3952">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51CA3" w14:textId="77777777" w:rsidR="00AB3952" w:rsidRDefault="00AB3952" w:rsidP="00604131">
      <w:r>
        <w:separator/>
      </w:r>
    </w:p>
    <w:p w14:paraId="73783995" w14:textId="77777777" w:rsidR="00AB3952" w:rsidRDefault="00AB3952" w:rsidP="00604131"/>
  </w:endnote>
  <w:endnote w:type="continuationSeparator" w:id="0">
    <w:p w14:paraId="24D30258" w14:textId="77777777" w:rsidR="00AB3952" w:rsidRDefault="00AB3952" w:rsidP="00604131">
      <w:r>
        <w:continuationSeparator/>
      </w:r>
    </w:p>
    <w:p w14:paraId="4E0DAB4E" w14:textId="77777777" w:rsidR="00AB3952" w:rsidRDefault="00AB3952" w:rsidP="00604131"/>
  </w:endnote>
  <w:endnote w:type="continuationNotice" w:id="1">
    <w:p w14:paraId="0EB2DB28" w14:textId="77777777" w:rsidR="00AB3952" w:rsidRDefault="00AB395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Relations publiques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sur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H. Rauter GmbH &amp; Co. 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5794B" w14:textId="77777777" w:rsidR="00AB3952" w:rsidRDefault="00AB3952" w:rsidP="00604131">
      <w:r>
        <w:separator/>
      </w:r>
    </w:p>
    <w:p w14:paraId="41DAF336" w14:textId="77777777" w:rsidR="00AB3952" w:rsidRDefault="00AB3952" w:rsidP="00604131"/>
  </w:footnote>
  <w:footnote w:type="continuationSeparator" w:id="0">
    <w:p w14:paraId="31D5F473" w14:textId="77777777" w:rsidR="00AB3952" w:rsidRDefault="00AB3952" w:rsidP="00604131">
      <w:r>
        <w:continuationSeparator/>
      </w:r>
    </w:p>
    <w:p w14:paraId="780FA4B5" w14:textId="77777777" w:rsidR="00AB3952" w:rsidRDefault="00AB3952" w:rsidP="00604131"/>
  </w:footnote>
  <w:footnote w:type="continuationNotice" w:id="1">
    <w:p w14:paraId="1A5B8883" w14:textId="77777777" w:rsidR="00AB3952" w:rsidRDefault="00AB395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COMMUNIQUÉ DE</w:t>
                    </w:r>
                    <w:r>
                      <w:rPr>
                        <w:rFonts w:ascii="Arial" w:hAnsi="Arial" w:cs="Arial"/>
                        <w:color w:val="DC0064" w:themeColor="accent1"/>
                        <w:sz w:val="72"/>
                        <w:szCs w:val="72"/>
                      </w:rPr>
                      <w:t xml:space="preserve"> </w:t>
                    </w:r>
                    <w:r>
                      <w:rPr>
                        <w:rFonts w:ascii="Arial" w:hAnsi="Arial" w:cs="Arial"/>
                        <w:b/>
                        <w:bCs/>
                        <w:color w:val="DC0064" w:themeColor="accent1"/>
                        <w:sz w:val="72"/>
                        <w:szCs w:val="72"/>
                      </w:rPr>
                      <w:t xml:space="preserve">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5521"/>
    <w:rsid w:val="00225AC3"/>
    <w:rsid w:val="00226B33"/>
    <w:rsid w:val="00227247"/>
    <w:rsid w:val="002314D6"/>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5A2A"/>
    <w:rsid w:val="00526300"/>
    <w:rsid w:val="0052705E"/>
    <w:rsid w:val="005318CB"/>
    <w:rsid w:val="005350C8"/>
    <w:rsid w:val="00536323"/>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5E20"/>
    <w:rsid w:val="006B62E7"/>
    <w:rsid w:val="006C1415"/>
    <w:rsid w:val="006C1BFA"/>
    <w:rsid w:val="006C2465"/>
    <w:rsid w:val="006C2DCB"/>
    <w:rsid w:val="006C30A0"/>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829"/>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38EF"/>
    <w:rsid w:val="00964688"/>
    <w:rsid w:val="00966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A00543"/>
    <w:rsid w:val="00A022F0"/>
    <w:rsid w:val="00A025BD"/>
    <w:rsid w:val="00A02959"/>
    <w:rsid w:val="00A0390D"/>
    <w:rsid w:val="00A04D40"/>
    <w:rsid w:val="00A0664A"/>
    <w:rsid w:val="00A07FCF"/>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45EB"/>
    <w:rsid w:val="00AA5E63"/>
    <w:rsid w:val="00AA797C"/>
    <w:rsid w:val="00AB23F4"/>
    <w:rsid w:val="00AB3087"/>
    <w:rsid w:val="00AB3952"/>
    <w:rsid w:val="00AB3CFC"/>
    <w:rsid w:val="00AB4190"/>
    <w:rsid w:val="00AC1565"/>
    <w:rsid w:val="00AC1C6B"/>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0C3D"/>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6F8C"/>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2603"/>
    <w:rsid w:val="00C83B00"/>
    <w:rsid w:val="00C84EDB"/>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6B08"/>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Calibri Light" w:asciiTheme="majorHAnsi" w:eastAsiaTheme="majorEastAsia" w:hAnsi="Calibri Light"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Calibri Light" w:asciiTheme="majorHAnsi" w:eastAsiaTheme="majorEastAsia" w:hAnsi="Calibri Light"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Calibri Light" w:asciiTheme="majorHAnsi" w:eastAsiaTheme="majorEastAsia" w:hAnsi="Calibri Light" w:hAnsiTheme="majorHAnsi" w:cstheme="majorBidi"/>
      <w:i/>
      <w:iCs/>
      <w:color w:val="A4004A" w:themeColor="accent1" w:themeShade="BF"/>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Calibri Light" w:asciiTheme="majorHAnsi" w:eastAsiaTheme="majorEastAsia" w:hAnsi="Calibri Light"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Calibri Light" w:asciiTheme="majorHAnsi" w:eastAsiaTheme="majorEastAsia" w:hAnsi="Calibri Light"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Calibri Light" w:asciiTheme="majorHAnsi" w:eastAsiaTheme="majorEastAsia" w:hAnsi="Calibri Light"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245</Words>
  <Characters>1745</Characters>
  <Application>Microsoft Office Word</Application>
  <DocSecurity>0</DocSecurity>
  <Lines>36</Lines>
  <Paragraphs>12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2024-02-23T17:10:00Z</dcterms:created>
  <dcterms:modified xsi:type="dcterms:W3CDTF">2024-03-11T14:42:00Z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